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33" w:rsidRDefault="0034750F" w:rsidP="00FF2CD1">
      <w:bookmarkStart w:id="0" w:name="_GoBack"/>
      <w:bookmarkEnd w:id="0"/>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4095115</wp:posOffset>
                </wp:positionH>
                <wp:positionV relativeFrom="paragraph">
                  <wp:posOffset>-191770</wp:posOffset>
                </wp:positionV>
                <wp:extent cx="876300" cy="971550"/>
                <wp:effectExtent l="0" t="0" r="0"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71550"/>
                        </a:xfrm>
                        <a:prstGeom prst="rect">
                          <a:avLst/>
                        </a:prstGeom>
                        <a:noFill/>
                        <a:ln w="9525">
                          <a:noFill/>
                          <a:miter lim="800000"/>
                          <a:headEnd/>
                          <a:tailEnd/>
                        </a:ln>
                      </wps:spPr>
                      <wps:txbx>
                        <w:txbxContent>
                          <w:p w:rsidR="002B5F33" w:rsidRDefault="0034750F" w:rsidP="00F24F2F">
                            <w:pPr>
                              <w:jc w:val="center"/>
                            </w:pPr>
                            <w:r>
                              <w:rPr>
                                <w:noProof/>
                                <w:sz w:val="20"/>
                                <w:szCs w:val="20"/>
                                <w:lang w:eastAsia="it-IT"/>
                              </w:rPr>
                              <w:drawing>
                                <wp:inline distT="0" distB="0" distL="0" distR="0">
                                  <wp:extent cx="660400" cy="812800"/>
                                  <wp:effectExtent l="0" t="0" r="6350" b="635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margin-left:322.45pt;margin-top:-15.1pt;width:69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" filled="f" stroked="f">
                <v:textbox>
                  <w:txbxContent>
                    <w:p w:rsidR="002B5F33" w:rsidRDefault="0034750F" w:rsidP="00F24F2F">
                      <w:pPr>
                        <w:jc w:val="center"/>
                      </w:pPr>
                      <w:r>
                        <w:rPr>
                          <w:noProof/>
                          <w:sz w:val="20"/>
                          <w:szCs w:val="20"/>
                          <w:lang w:eastAsia="it-IT"/>
                        </w:rPr>
                        <w:drawing>
                          <wp:inline distT="0" distB="0" distL="0" distR="0">
                            <wp:extent cx="660400" cy="812800"/>
                            <wp:effectExtent l="0" t="0" r="6350" b="635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p>
                  </w:txbxContent>
                </v:textbox>
              </v:shape>
            </w:pict>
          </mc:Fallback>
        </mc:AlternateContent>
      </w:r>
    </w:p>
    <w:p w:rsidR="002B5F33" w:rsidRDefault="002B5F33" w:rsidP="00FF2CD1"/>
    <w:p w:rsidR="002B5F33" w:rsidRDefault="002B5F33" w:rsidP="00FF2CD1">
      <w:pPr>
        <w:spacing w:after="0" w:line="240" w:lineRule="auto"/>
        <w:jc w:val="center"/>
        <w:rPr>
          <w:rFonts w:ascii="Times New Roman" w:hAnsi="Times New Roman"/>
          <w:sz w:val="36"/>
          <w:szCs w:val="36"/>
        </w:rPr>
      </w:pPr>
    </w:p>
    <w:p w:rsidR="002B5F33" w:rsidRDefault="002B5F33" w:rsidP="00FF2CD1">
      <w:pPr>
        <w:spacing w:after="0" w:line="240" w:lineRule="auto"/>
        <w:jc w:val="center"/>
        <w:rPr>
          <w:rFonts w:ascii="Times New Roman" w:hAnsi="Times New Roman"/>
          <w:sz w:val="36"/>
          <w:szCs w:val="36"/>
        </w:rPr>
      </w:pPr>
      <w:r w:rsidRPr="00FF2CD1">
        <w:rPr>
          <w:rFonts w:ascii="Times New Roman" w:hAnsi="Times New Roman"/>
          <w:sz w:val="36"/>
          <w:szCs w:val="36"/>
        </w:rPr>
        <w:t>COMUNE DI LETOJANNI</w:t>
      </w:r>
    </w:p>
    <w:p w:rsidR="002B5F33" w:rsidRPr="00FF2CD1" w:rsidRDefault="002B5F33" w:rsidP="00FF2CD1">
      <w:pPr>
        <w:spacing w:after="0" w:line="240" w:lineRule="auto"/>
        <w:jc w:val="center"/>
        <w:rPr>
          <w:rFonts w:ascii="Times New Roman" w:hAnsi="Times New Roman"/>
          <w:sz w:val="36"/>
          <w:szCs w:val="36"/>
        </w:rPr>
      </w:pPr>
      <w:r>
        <w:rPr>
          <w:rFonts w:ascii="Times New Roman" w:hAnsi="Times New Roman"/>
          <w:sz w:val="36"/>
          <w:szCs w:val="36"/>
        </w:rPr>
        <w:t>Città Metropolitana di Messina</w:t>
      </w:r>
    </w:p>
    <w:p w:rsidR="002B5F33" w:rsidRPr="00FF2CD1" w:rsidRDefault="002B5F33" w:rsidP="00FF2CD1">
      <w:pPr>
        <w:spacing w:after="0" w:line="240" w:lineRule="auto"/>
        <w:jc w:val="center"/>
        <w:rPr>
          <w:rFonts w:ascii="Times New Roman" w:hAnsi="Times New Roman"/>
          <w:sz w:val="36"/>
          <w:szCs w:val="36"/>
        </w:rPr>
      </w:pPr>
      <w:r w:rsidRPr="00FF2CD1">
        <w:rPr>
          <w:rFonts w:ascii="Times New Roman" w:hAnsi="Times New Roman"/>
          <w:sz w:val="36"/>
          <w:szCs w:val="36"/>
        </w:rPr>
        <w:t>Assessorato alle Politiche Sociali</w:t>
      </w:r>
    </w:p>
    <w:p w:rsidR="002B5F33" w:rsidRDefault="002B5F33"/>
    <w:p w:rsidR="002B5F33" w:rsidRPr="006A37FB" w:rsidRDefault="002B5F33" w:rsidP="00FF2CD1">
      <w:pPr>
        <w:jc w:val="center"/>
        <w:rPr>
          <w:rFonts w:ascii="Times New Roman" w:hAnsi="Times New Roman"/>
          <w:sz w:val="36"/>
          <w:szCs w:val="36"/>
        </w:rPr>
      </w:pPr>
      <w:r w:rsidRPr="006A37FB">
        <w:rPr>
          <w:rFonts w:ascii="Times New Roman" w:hAnsi="Times New Roman"/>
          <w:sz w:val="36"/>
          <w:szCs w:val="36"/>
        </w:rPr>
        <w:t>AVVISO PUBBLICO</w:t>
      </w:r>
    </w:p>
    <w:p w:rsidR="002B5F33" w:rsidRPr="00F24F2F" w:rsidRDefault="002B5F33" w:rsidP="00F24F2F">
      <w:pPr>
        <w:jc w:val="center"/>
        <w:rPr>
          <w:rFonts w:ascii="Times New Roman" w:hAnsi="Times New Roman"/>
          <w:b/>
          <w:sz w:val="52"/>
          <w:szCs w:val="52"/>
        </w:rPr>
      </w:pPr>
      <w:r w:rsidRPr="00F24F2F">
        <w:rPr>
          <w:rFonts w:ascii="Times New Roman" w:hAnsi="Times New Roman"/>
          <w:b/>
          <w:sz w:val="52"/>
          <w:szCs w:val="52"/>
        </w:rPr>
        <w:t>ISCRIZIONE MICRONIDO ANNO EDUCATIVO 201</w:t>
      </w:r>
      <w:r>
        <w:rPr>
          <w:rFonts w:ascii="Times New Roman" w:hAnsi="Times New Roman"/>
          <w:b/>
          <w:sz w:val="52"/>
          <w:szCs w:val="52"/>
        </w:rPr>
        <w:t>9/2020</w:t>
      </w:r>
    </w:p>
    <w:p w:rsidR="002B5F33" w:rsidRPr="00366CFB" w:rsidRDefault="002B5F33" w:rsidP="00EE6041">
      <w:pPr>
        <w:spacing w:after="0" w:line="240" w:lineRule="auto"/>
        <w:jc w:val="center"/>
        <w:rPr>
          <w:rFonts w:ascii="Times New Roman" w:hAnsi="Times New Roman"/>
          <w:b/>
          <w:sz w:val="28"/>
          <w:szCs w:val="28"/>
        </w:rPr>
      </w:pPr>
      <w:r w:rsidRPr="00366CFB">
        <w:rPr>
          <w:rFonts w:ascii="Times New Roman" w:hAnsi="Times New Roman"/>
          <w:b/>
          <w:sz w:val="28"/>
          <w:szCs w:val="28"/>
        </w:rPr>
        <w:t xml:space="preserve">Regolamento approvato con Delibera C.C. n. 10 dell’08/02/2017 e delibera di C.C. n. 17 del 28.03.2019 </w:t>
      </w:r>
    </w:p>
    <w:p w:rsidR="002B5F33" w:rsidRPr="00EF7EA6" w:rsidRDefault="002B5F33" w:rsidP="00EE6041">
      <w:pPr>
        <w:spacing w:after="0" w:line="240" w:lineRule="auto"/>
        <w:jc w:val="center"/>
        <w:rPr>
          <w:rFonts w:ascii="Times New Roman" w:hAnsi="Times New Roman"/>
          <w:sz w:val="28"/>
          <w:szCs w:val="28"/>
        </w:rPr>
      </w:pPr>
    </w:p>
    <w:p w:rsidR="002B5F33" w:rsidRPr="00EF7EA6" w:rsidRDefault="002B5F33" w:rsidP="00FF2CD1">
      <w:pPr>
        <w:jc w:val="both"/>
        <w:rPr>
          <w:rFonts w:ascii="Times New Roman" w:hAnsi="Times New Roman"/>
          <w:sz w:val="28"/>
          <w:szCs w:val="28"/>
        </w:rPr>
      </w:pPr>
      <w:r w:rsidRPr="00EF7EA6">
        <w:rPr>
          <w:rFonts w:ascii="Times New Roman" w:hAnsi="Times New Roman"/>
          <w:sz w:val="28"/>
          <w:szCs w:val="28"/>
        </w:rPr>
        <w:t>Si porta a conoscenza che  è possibile presentare la domanda di is</w:t>
      </w:r>
      <w:r>
        <w:rPr>
          <w:rFonts w:ascii="Times New Roman" w:hAnsi="Times New Roman"/>
          <w:sz w:val="28"/>
          <w:szCs w:val="28"/>
        </w:rPr>
        <w:t>crizione al micronido comunale per l’anno educativo 2019/2020</w:t>
      </w:r>
    </w:p>
    <w:p w:rsidR="002B5F33" w:rsidRPr="00EF7EA6" w:rsidRDefault="002B5F33" w:rsidP="00EE6041">
      <w:pPr>
        <w:jc w:val="center"/>
        <w:rPr>
          <w:rFonts w:ascii="Times New Roman" w:hAnsi="Times New Roman"/>
          <w:b/>
          <w:sz w:val="28"/>
          <w:szCs w:val="28"/>
        </w:rPr>
      </w:pPr>
      <w:r w:rsidRPr="00EF7EA6">
        <w:rPr>
          <w:rFonts w:ascii="Times New Roman" w:hAnsi="Times New Roman"/>
          <w:b/>
          <w:sz w:val="28"/>
          <w:szCs w:val="28"/>
        </w:rPr>
        <w:t>REQUISITI PER L’ISCRIZIONE</w:t>
      </w:r>
    </w:p>
    <w:p w:rsidR="002B5F33" w:rsidRDefault="002B5F33" w:rsidP="00FF2CD1">
      <w:pPr>
        <w:jc w:val="both"/>
        <w:rPr>
          <w:rFonts w:ascii="Times New Roman" w:hAnsi="Times New Roman"/>
          <w:sz w:val="28"/>
          <w:szCs w:val="28"/>
        </w:rPr>
      </w:pPr>
      <w:r w:rsidRPr="00EF7EA6">
        <w:rPr>
          <w:rFonts w:ascii="Times New Roman" w:hAnsi="Times New Roman"/>
          <w:sz w:val="28"/>
          <w:szCs w:val="28"/>
        </w:rPr>
        <w:t>Possono essere ammessi al micronido i bambini che abbiano compiuto i tre mesi d’età e fino al terzo anno, che risultino residenti nel territorio comunale insieme ai genitori (o a chi ne fa le veci) al momento della presentazione della domanda d’iscrizione.</w:t>
      </w:r>
    </w:p>
    <w:p w:rsidR="002B5F33" w:rsidRPr="004038DA" w:rsidRDefault="002B5F33" w:rsidP="00FF2CD1">
      <w:pPr>
        <w:jc w:val="both"/>
        <w:rPr>
          <w:rFonts w:ascii="Times New Roman" w:hAnsi="Times New Roman"/>
          <w:sz w:val="28"/>
          <w:szCs w:val="28"/>
        </w:rPr>
      </w:pPr>
      <w:r w:rsidRPr="004038DA">
        <w:rPr>
          <w:rFonts w:ascii="Times New Roman" w:hAnsi="Times New Roman"/>
          <w:sz w:val="28"/>
          <w:szCs w:val="28"/>
        </w:rPr>
        <w:t>Il servizio, qualora le sezioni risultassero scoperte di utenza individuata nel comma precedente, può essere rivolto anche ai bambini residenti in altri Comuni</w:t>
      </w:r>
    </w:p>
    <w:p w:rsidR="002B5F33" w:rsidRPr="00EF7EA6" w:rsidRDefault="002B5F33" w:rsidP="00EE6041">
      <w:pPr>
        <w:jc w:val="center"/>
        <w:rPr>
          <w:rFonts w:ascii="Times New Roman" w:hAnsi="Times New Roman"/>
          <w:b/>
          <w:sz w:val="28"/>
          <w:szCs w:val="28"/>
        </w:rPr>
      </w:pPr>
      <w:r w:rsidRPr="00EF7EA6">
        <w:rPr>
          <w:rFonts w:ascii="Times New Roman" w:hAnsi="Times New Roman"/>
          <w:b/>
          <w:sz w:val="28"/>
          <w:szCs w:val="28"/>
        </w:rPr>
        <w:t>DOMANDA DI ISCRIZIONE</w:t>
      </w:r>
    </w:p>
    <w:p w:rsidR="002B5F33" w:rsidRPr="00EF7EA6" w:rsidRDefault="002B5F33" w:rsidP="00EE6041">
      <w:pPr>
        <w:jc w:val="both"/>
        <w:rPr>
          <w:rFonts w:ascii="Times New Roman" w:hAnsi="Times New Roman"/>
          <w:sz w:val="28"/>
          <w:szCs w:val="28"/>
        </w:rPr>
      </w:pPr>
      <w:r w:rsidRPr="00EF7EA6">
        <w:rPr>
          <w:rFonts w:ascii="Times New Roman" w:hAnsi="Times New Roman"/>
          <w:sz w:val="28"/>
          <w:szCs w:val="28"/>
        </w:rPr>
        <w:t>I genitori, o coloro che hanno la responsabilità genitoriale, devono presentare la domanda di iscrizione  su apposito modello reperibile online presso il sito del Comune di Letojanni alla sezione appositamente dedicata.</w:t>
      </w:r>
    </w:p>
    <w:p w:rsidR="002B5F33" w:rsidRPr="00EF7EA6" w:rsidRDefault="002B5F33" w:rsidP="000368E2">
      <w:pPr>
        <w:jc w:val="center"/>
        <w:rPr>
          <w:rFonts w:ascii="Times New Roman" w:hAnsi="Times New Roman"/>
          <w:b/>
          <w:sz w:val="28"/>
          <w:szCs w:val="28"/>
        </w:rPr>
      </w:pPr>
      <w:r w:rsidRPr="00EF7EA6">
        <w:rPr>
          <w:rFonts w:ascii="Times New Roman" w:hAnsi="Times New Roman"/>
          <w:b/>
          <w:sz w:val="28"/>
          <w:szCs w:val="28"/>
        </w:rPr>
        <w:t>FORMAZIONE E UTILIZZO DELLA GRADUATORIA</w:t>
      </w:r>
    </w:p>
    <w:p w:rsidR="002B5F33" w:rsidRPr="00EF7EA6" w:rsidRDefault="002B5F33" w:rsidP="000368E2">
      <w:pPr>
        <w:jc w:val="both"/>
        <w:rPr>
          <w:rFonts w:ascii="Times New Roman" w:hAnsi="Times New Roman"/>
          <w:sz w:val="28"/>
          <w:szCs w:val="28"/>
        </w:rPr>
      </w:pPr>
      <w:r w:rsidRPr="00EF7EA6">
        <w:rPr>
          <w:rFonts w:ascii="Times New Roman" w:hAnsi="Times New Roman"/>
          <w:sz w:val="28"/>
          <w:szCs w:val="28"/>
        </w:rPr>
        <w:t>La graduatoria, formulata sulla base dei criteri di cui al Regolamento di gestione del micronido comunale  (scaricabile sul sito del Comune), sarà pubblicata all’Albo Pretorio on line sul sito istituzionale del Comune. Gli ammessi al servizio saranno contattati direttamente per il perfezionamento dell’iscrizione.</w:t>
      </w:r>
    </w:p>
    <w:p w:rsidR="002B5F33" w:rsidRPr="00EF7EA6" w:rsidRDefault="002B5F33" w:rsidP="000368E2">
      <w:pPr>
        <w:jc w:val="center"/>
        <w:rPr>
          <w:rFonts w:ascii="Times New Roman" w:hAnsi="Times New Roman"/>
          <w:b/>
          <w:sz w:val="28"/>
          <w:szCs w:val="28"/>
        </w:rPr>
      </w:pPr>
      <w:r w:rsidRPr="00EF7EA6">
        <w:rPr>
          <w:rFonts w:ascii="Times New Roman" w:hAnsi="Times New Roman"/>
          <w:b/>
          <w:sz w:val="28"/>
          <w:szCs w:val="28"/>
        </w:rPr>
        <w:t xml:space="preserve">RETTA DI FREQUENZA </w:t>
      </w:r>
    </w:p>
    <w:p w:rsidR="002B5F33" w:rsidRDefault="002B5F33" w:rsidP="00366CFB">
      <w:pPr>
        <w:jc w:val="both"/>
        <w:rPr>
          <w:rFonts w:ascii="Times New Roman" w:hAnsi="Times New Roman"/>
          <w:sz w:val="28"/>
          <w:szCs w:val="28"/>
          <w:lang w:eastAsia="it-IT"/>
        </w:rPr>
      </w:pPr>
      <w:r w:rsidRPr="00EF7EA6">
        <w:rPr>
          <w:rFonts w:ascii="Times New Roman" w:hAnsi="Times New Roman"/>
          <w:sz w:val="28"/>
          <w:szCs w:val="28"/>
        </w:rPr>
        <w:t>La retta mensile per la frequenza al Nido (compartecipazione delle famiglie alla copertura delle spese per la gestione del servizio) è fissata annualmente dall’Amministrazione Comunale, e prevede una quota fissa ed una quota in forma differenziata sulla base di parametri di calcolo ISEE, come da prospetto di seguito riportato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3010"/>
        <w:gridCol w:w="2371"/>
        <w:gridCol w:w="1914"/>
      </w:tblGrid>
      <w:tr w:rsidR="002B5F33" w:rsidRPr="005929F3" w:rsidTr="00F6649E">
        <w:tc>
          <w:tcPr>
            <w:tcW w:w="2559" w:type="dxa"/>
            <w:shd w:val="clear" w:color="auto" w:fill="FFC000"/>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INDICATORE ISEE</w:t>
            </w:r>
          </w:p>
        </w:tc>
        <w:tc>
          <w:tcPr>
            <w:tcW w:w="3010" w:type="dxa"/>
            <w:shd w:val="clear" w:color="auto" w:fill="FFC000"/>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QUOTA FISSA MENSILE</w:t>
            </w:r>
          </w:p>
        </w:tc>
        <w:tc>
          <w:tcPr>
            <w:tcW w:w="2371" w:type="dxa"/>
            <w:shd w:val="clear" w:color="auto" w:fill="FFC000"/>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RETTA MENSILE</w:t>
            </w:r>
          </w:p>
        </w:tc>
        <w:tc>
          <w:tcPr>
            <w:tcW w:w="1914" w:type="dxa"/>
            <w:shd w:val="clear" w:color="auto" w:fill="FFC000"/>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TOTALE</w:t>
            </w:r>
          </w:p>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RETTA</w:t>
            </w:r>
          </w:p>
        </w:tc>
      </w:tr>
      <w:tr w:rsidR="002B5F33" w:rsidRPr="005929F3" w:rsidTr="00F6649E">
        <w:tc>
          <w:tcPr>
            <w:tcW w:w="2559" w:type="dxa"/>
          </w:tcPr>
          <w:p w:rsidR="002B5F33" w:rsidRPr="005929F3" w:rsidRDefault="002B5F33" w:rsidP="00F6649E">
            <w:pPr>
              <w:tabs>
                <w:tab w:val="right" w:pos="2343"/>
              </w:tabs>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ISEE 0</w:t>
            </w:r>
            <w:r w:rsidRPr="005929F3">
              <w:rPr>
                <w:rFonts w:ascii="Times New Roman" w:hAnsi="Times New Roman"/>
                <w:sz w:val="28"/>
                <w:szCs w:val="28"/>
                <w:lang w:eastAsia="it-IT"/>
              </w:rPr>
              <w:tab/>
            </w:r>
          </w:p>
        </w:tc>
        <w:tc>
          <w:tcPr>
            <w:tcW w:w="3010"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€ 80,00</w:t>
            </w:r>
          </w:p>
        </w:tc>
        <w:tc>
          <w:tcPr>
            <w:tcW w:w="2371"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0</w:t>
            </w:r>
          </w:p>
        </w:tc>
        <w:tc>
          <w:tcPr>
            <w:tcW w:w="1914"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€ 80,00</w:t>
            </w:r>
          </w:p>
        </w:tc>
      </w:tr>
      <w:tr w:rsidR="002B5F33" w:rsidRPr="005929F3" w:rsidTr="00F6649E">
        <w:tc>
          <w:tcPr>
            <w:tcW w:w="2559"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Fino a € 12.000,00</w:t>
            </w:r>
          </w:p>
        </w:tc>
        <w:tc>
          <w:tcPr>
            <w:tcW w:w="3010"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€ 80,00</w:t>
            </w:r>
          </w:p>
        </w:tc>
        <w:tc>
          <w:tcPr>
            <w:tcW w:w="2371"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€ 70,00</w:t>
            </w:r>
          </w:p>
        </w:tc>
        <w:tc>
          <w:tcPr>
            <w:tcW w:w="1914"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€ 150,00</w:t>
            </w:r>
          </w:p>
        </w:tc>
      </w:tr>
      <w:tr w:rsidR="002B5F33" w:rsidRPr="005929F3" w:rsidTr="00F6649E">
        <w:tc>
          <w:tcPr>
            <w:tcW w:w="2559"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Fino a € 17.500,00</w:t>
            </w:r>
          </w:p>
        </w:tc>
        <w:tc>
          <w:tcPr>
            <w:tcW w:w="3010"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€ 80,00</w:t>
            </w:r>
          </w:p>
        </w:tc>
        <w:tc>
          <w:tcPr>
            <w:tcW w:w="2371"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€ 120,00</w:t>
            </w:r>
          </w:p>
        </w:tc>
        <w:tc>
          <w:tcPr>
            <w:tcW w:w="1914"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€ 200,00</w:t>
            </w:r>
          </w:p>
        </w:tc>
      </w:tr>
      <w:tr w:rsidR="002B5F33" w:rsidRPr="005929F3" w:rsidTr="00F6649E">
        <w:tc>
          <w:tcPr>
            <w:tcW w:w="2559"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Fino a € 25.500,00</w:t>
            </w:r>
          </w:p>
        </w:tc>
        <w:tc>
          <w:tcPr>
            <w:tcW w:w="3010"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€ 80,00</w:t>
            </w:r>
          </w:p>
        </w:tc>
        <w:tc>
          <w:tcPr>
            <w:tcW w:w="2371"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€ 150,00</w:t>
            </w:r>
          </w:p>
        </w:tc>
        <w:tc>
          <w:tcPr>
            <w:tcW w:w="1914"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€ 230,00</w:t>
            </w:r>
          </w:p>
        </w:tc>
      </w:tr>
      <w:tr w:rsidR="002B5F33" w:rsidRPr="005929F3" w:rsidTr="00F6649E">
        <w:tc>
          <w:tcPr>
            <w:tcW w:w="2559"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Oltre € 25.500,00</w:t>
            </w:r>
          </w:p>
        </w:tc>
        <w:tc>
          <w:tcPr>
            <w:tcW w:w="3010"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€ 80,00</w:t>
            </w:r>
          </w:p>
        </w:tc>
        <w:tc>
          <w:tcPr>
            <w:tcW w:w="2371"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€ 220,00</w:t>
            </w:r>
          </w:p>
        </w:tc>
        <w:tc>
          <w:tcPr>
            <w:tcW w:w="1914" w:type="dxa"/>
          </w:tcPr>
          <w:p w:rsidR="002B5F33" w:rsidRPr="005929F3" w:rsidRDefault="002B5F33" w:rsidP="00F6649E">
            <w:pPr>
              <w:spacing w:after="0" w:line="240" w:lineRule="auto"/>
              <w:rPr>
                <w:rFonts w:ascii="Times New Roman" w:hAnsi="Times New Roman"/>
                <w:sz w:val="28"/>
                <w:szCs w:val="28"/>
                <w:lang w:eastAsia="it-IT"/>
              </w:rPr>
            </w:pPr>
            <w:r w:rsidRPr="005929F3">
              <w:rPr>
                <w:rFonts w:ascii="Times New Roman" w:hAnsi="Times New Roman"/>
                <w:sz w:val="28"/>
                <w:szCs w:val="28"/>
                <w:lang w:eastAsia="it-IT"/>
              </w:rPr>
              <w:t>€ 300,00</w:t>
            </w:r>
          </w:p>
        </w:tc>
      </w:tr>
    </w:tbl>
    <w:p w:rsidR="002B5F33" w:rsidRPr="00EF7EA6" w:rsidRDefault="002B5F33" w:rsidP="00F24F2F">
      <w:pPr>
        <w:jc w:val="both"/>
        <w:rPr>
          <w:rFonts w:ascii="Times New Roman" w:hAnsi="Times New Roman"/>
          <w:sz w:val="28"/>
          <w:szCs w:val="28"/>
        </w:rPr>
      </w:pPr>
      <w:r w:rsidRPr="00EF7EA6">
        <w:rPr>
          <w:rFonts w:ascii="Times New Roman" w:hAnsi="Times New Roman"/>
          <w:sz w:val="28"/>
          <w:szCs w:val="28"/>
        </w:rPr>
        <w:t>La retta va corrisposta anticipatamente entro il 5 di ogni mese, il mancato pagamento dà luogo a un provvedimento di diffida. Se entro 10 giorni il genitore non provvede a versare quanto dovuto il bambino decade dal diritto di frequentare il nido.</w:t>
      </w:r>
    </w:p>
    <w:p w:rsidR="002B5F33" w:rsidRPr="00EF7EA6" w:rsidRDefault="002B5F33" w:rsidP="00F24F2F">
      <w:pPr>
        <w:jc w:val="both"/>
        <w:rPr>
          <w:rFonts w:ascii="Times New Roman" w:hAnsi="Times New Roman"/>
          <w:sz w:val="28"/>
          <w:szCs w:val="28"/>
        </w:rPr>
      </w:pPr>
      <w:r w:rsidRPr="00EF7EA6">
        <w:rPr>
          <w:rFonts w:ascii="Times New Roman" w:hAnsi="Times New Roman"/>
          <w:sz w:val="28"/>
          <w:szCs w:val="28"/>
        </w:rPr>
        <w:t>La mancata presentazione della dichiarazione sostitutiva unica (D.P.C.M. 5 dicembre 2013 n. 159 e s.m.i.) con l’indicatore della situazione economica equivalente, comporta l’applicazione della retta massima di frequenza mensile.</w:t>
      </w:r>
    </w:p>
    <w:p w:rsidR="002B5F33" w:rsidRPr="00EF7EA6" w:rsidRDefault="002B5F33" w:rsidP="00F24F2F">
      <w:pPr>
        <w:jc w:val="center"/>
        <w:rPr>
          <w:rFonts w:ascii="Times New Roman" w:hAnsi="Times New Roman"/>
          <w:b/>
          <w:sz w:val="28"/>
          <w:szCs w:val="28"/>
        </w:rPr>
      </w:pPr>
      <w:r w:rsidRPr="00EF7EA6">
        <w:rPr>
          <w:rFonts w:ascii="Times New Roman" w:hAnsi="Times New Roman"/>
          <w:b/>
          <w:sz w:val="28"/>
          <w:szCs w:val="28"/>
        </w:rPr>
        <w:t>PRESENTAZIONE DOMANDA</w:t>
      </w:r>
    </w:p>
    <w:p w:rsidR="002B5F33" w:rsidRDefault="002B5F33" w:rsidP="00F24F2F">
      <w:pPr>
        <w:jc w:val="both"/>
        <w:rPr>
          <w:rFonts w:ascii="Times New Roman" w:hAnsi="Times New Roman"/>
          <w:sz w:val="28"/>
          <w:szCs w:val="28"/>
        </w:rPr>
      </w:pPr>
      <w:r w:rsidRPr="00EF7EA6">
        <w:rPr>
          <w:rFonts w:ascii="Times New Roman" w:hAnsi="Times New Roman"/>
          <w:sz w:val="28"/>
          <w:szCs w:val="28"/>
        </w:rPr>
        <w:t>La richiesta di iscrizione deve avvenire esclusivamente tramite presentazione de</w:t>
      </w:r>
      <w:r>
        <w:rPr>
          <w:rFonts w:ascii="Times New Roman" w:hAnsi="Times New Roman"/>
          <w:sz w:val="28"/>
          <w:szCs w:val="28"/>
        </w:rPr>
        <w:t>lla documentazione richiesta all’Ufficio P</w:t>
      </w:r>
      <w:r w:rsidRPr="00EF7EA6">
        <w:rPr>
          <w:rFonts w:ascii="Times New Roman" w:hAnsi="Times New Roman"/>
          <w:sz w:val="28"/>
          <w:szCs w:val="28"/>
        </w:rPr>
        <w:t xml:space="preserve">rotocollo del Comune di Letojanni </w:t>
      </w:r>
      <w:r>
        <w:rPr>
          <w:rFonts w:ascii="Times New Roman" w:hAnsi="Times New Roman"/>
          <w:sz w:val="28"/>
          <w:szCs w:val="28"/>
        </w:rPr>
        <w:t>.</w:t>
      </w:r>
    </w:p>
    <w:p w:rsidR="002B5F33" w:rsidRDefault="002B5F33" w:rsidP="00F24F2F">
      <w:pPr>
        <w:jc w:val="both"/>
        <w:rPr>
          <w:rFonts w:ascii="Times New Roman" w:hAnsi="Times New Roman"/>
          <w:sz w:val="28"/>
          <w:szCs w:val="28"/>
        </w:rPr>
      </w:pPr>
      <w:r>
        <w:rPr>
          <w:rFonts w:ascii="Times New Roman" w:hAnsi="Times New Roman"/>
          <w:sz w:val="28"/>
          <w:szCs w:val="28"/>
        </w:rPr>
        <w:t>Le domande saranno accolte  fino  al limite  della disponibilità  dei posti.</w:t>
      </w:r>
    </w:p>
    <w:p w:rsidR="002B5F33" w:rsidRDefault="002B5F33" w:rsidP="00F24F2F">
      <w:pPr>
        <w:jc w:val="both"/>
        <w:rPr>
          <w:rFonts w:ascii="Times New Roman" w:hAnsi="Times New Roman"/>
          <w:sz w:val="28"/>
          <w:szCs w:val="28"/>
        </w:rPr>
      </w:pPr>
      <w:r>
        <w:rPr>
          <w:rFonts w:ascii="Times New Roman" w:hAnsi="Times New Roman"/>
          <w:sz w:val="28"/>
          <w:szCs w:val="28"/>
        </w:rPr>
        <w:t>Dalla Residenza Municipale, 18.06.2019</w:t>
      </w:r>
    </w:p>
    <w:p w:rsidR="002B5F33" w:rsidRDefault="002B5F33" w:rsidP="00DA5D28">
      <w:pPr>
        <w:spacing w:after="0"/>
        <w:ind w:firstLine="708"/>
        <w:jc w:val="both"/>
        <w:rPr>
          <w:rFonts w:ascii="Times New Roman" w:hAnsi="Times New Roman"/>
          <w:sz w:val="28"/>
          <w:szCs w:val="28"/>
        </w:rPr>
      </w:pPr>
    </w:p>
    <w:p w:rsidR="002B5F33" w:rsidRDefault="002B5F33" w:rsidP="00DA5D28">
      <w:pPr>
        <w:spacing w:after="0"/>
        <w:ind w:firstLine="708"/>
        <w:jc w:val="both"/>
        <w:rPr>
          <w:rFonts w:ascii="Times New Roman" w:hAnsi="Times New Roman"/>
          <w:sz w:val="28"/>
          <w:szCs w:val="28"/>
        </w:rPr>
      </w:pPr>
      <w:r>
        <w:rPr>
          <w:rFonts w:ascii="Times New Roman" w:hAnsi="Times New Roman"/>
          <w:sz w:val="28"/>
          <w:szCs w:val="28"/>
        </w:rPr>
        <w:t>L’Assessore alle Politiche Sociali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Il Sindaco</w:t>
      </w:r>
    </w:p>
    <w:p w:rsidR="002B5F33" w:rsidRPr="00EF7EA6" w:rsidRDefault="002B5F33" w:rsidP="00DA5D28">
      <w:pPr>
        <w:spacing w:after="0"/>
        <w:ind w:firstLine="708"/>
        <w:jc w:val="both"/>
        <w:rPr>
          <w:sz w:val="28"/>
          <w:szCs w:val="28"/>
        </w:rPr>
      </w:pPr>
      <w:r>
        <w:rPr>
          <w:rFonts w:ascii="Times New Roman" w:hAnsi="Times New Roman"/>
          <w:sz w:val="28"/>
          <w:szCs w:val="28"/>
        </w:rPr>
        <w:t xml:space="preserve">          Mariateresa Rammi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Alessandro Costa</w:t>
      </w:r>
    </w:p>
    <w:sectPr w:rsidR="002B5F33" w:rsidRPr="00EF7EA6" w:rsidSect="00F24F2F">
      <w:pgSz w:w="16839" w:h="23814" w:code="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D1"/>
    <w:rsid w:val="000368E2"/>
    <w:rsid w:val="000D6995"/>
    <w:rsid w:val="00134972"/>
    <w:rsid w:val="00233232"/>
    <w:rsid w:val="002B5F33"/>
    <w:rsid w:val="002F3F0D"/>
    <w:rsid w:val="003142A1"/>
    <w:rsid w:val="0034750F"/>
    <w:rsid w:val="00366CFB"/>
    <w:rsid w:val="003D17C8"/>
    <w:rsid w:val="004038DA"/>
    <w:rsid w:val="004D72B6"/>
    <w:rsid w:val="0052154B"/>
    <w:rsid w:val="005929F3"/>
    <w:rsid w:val="005F03E7"/>
    <w:rsid w:val="006A37FB"/>
    <w:rsid w:val="006A6FD0"/>
    <w:rsid w:val="00786679"/>
    <w:rsid w:val="007C2852"/>
    <w:rsid w:val="008212F2"/>
    <w:rsid w:val="00875C5F"/>
    <w:rsid w:val="00893B8E"/>
    <w:rsid w:val="00922B75"/>
    <w:rsid w:val="00951403"/>
    <w:rsid w:val="00991E00"/>
    <w:rsid w:val="009A319C"/>
    <w:rsid w:val="009F5F37"/>
    <w:rsid w:val="00A016A5"/>
    <w:rsid w:val="00AE4339"/>
    <w:rsid w:val="00B6485F"/>
    <w:rsid w:val="00C037FD"/>
    <w:rsid w:val="00CD0C2B"/>
    <w:rsid w:val="00D11A7A"/>
    <w:rsid w:val="00D12998"/>
    <w:rsid w:val="00D4577D"/>
    <w:rsid w:val="00D469DE"/>
    <w:rsid w:val="00D6448F"/>
    <w:rsid w:val="00D9128D"/>
    <w:rsid w:val="00DA5D28"/>
    <w:rsid w:val="00E84C0C"/>
    <w:rsid w:val="00EB39C5"/>
    <w:rsid w:val="00EE6041"/>
    <w:rsid w:val="00EF7EA6"/>
    <w:rsid w:val="00F24F2F"/>
    <w:rsid w:val="00F6649E"/>
    <w:rsid w:val="00FB02B8"/>
    <w:rsid w:val="00FF2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CD1"/>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F2C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F2CD1"/>
    <w:rPr>
      <w:rFonts w:ascii="Tahoma" w:hAnsi="Tahoma" w:cs="Tahoma"/>
      <w:sz w:val="16"/>
      <w:szCs w:val="16"/>
    </w:rPr>
  </w:style>
  <w:style w:type="table" w:styleId="Grigliatabella">
    <w:name w:val="Table Grid"/>
    <w:basedOn w:val="Tabellanormale"/>
    <w:uiPriority w:val="99"/>
    <w:rsid w:val="000368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CD1"/>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F2C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F2CD1"/>
    <w:rPr>
      <w:rFonts w:ascii="Tahoma" w:hAnsi="Tahoma" w:cs="Tahoma"/>
      <w:sz w:val="16"/>
      <w:szCs w:val="16"/>
    </w:rPr>
  </w:style>
  <w:style w:type="table" w:styleId="Grigliatabella">
    <w:name w:val="Table Grid"/>
    <w:basedOn w:val="Tabellanormale"/>
    <w:uiPriority w:val="99"/>
    <w:rsid w:val="000368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00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PC7</cp:lastModifiedBy>
  <cp:revision>2</cp:revision>
  <dcterms:created xsi:type="dcterms:W3CDTF">2019-07-11T09:21:00Z</dcterms:created>
  <dcterms:modified xsi:type="dcterms:W3CDTF">2019-07-11T09:21:00Z</dcterms:modified>
</cp:coreProperties>
</file>